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D68B8B" w14:textId="08657B1B" w:rsidR="00CF100D" w:rsidRDefault="00CF100D" w:rsidP="00CF100D">
      <w:pPr>
        <w:jc w:val="center"/>
        <w:rPr>
          <w:b/>
          <w:bCs/>
          <w:lang w:val="en-US"/>
        </w:rPr>
      </w:pPr>
      <w:r>
        <w:rPr>
          <w:b/>
          <w:bCs/>
          <w:lang w:val="en-US"/>
        </w:rPr>
        <w:t>Annual AFROSAI-E Extractive Industries Workshop</w:t>
      </w:r>
      <w:r w:rsidR="00D729E7">
        <w:rPr>
          <w:b/>
          <w:bCs/>
          <w:lang w:val="en-US"/>
        </w:rPr>
        <w:t>: Program</w:t>
      </w:r>
    </w:p>
    <w:p w14:paraId="38307E2C" w14:textId="0253197A" w:rsidR="00D22F5F" w:rsidRDefault="004275D2" w:rsidP="00CF100D">
      <w:pPr>
        <w:jc w:val="center"/>
        <w:rPr>
          <w:b/>
          <w:bCs/>
          <w:lang w:val="en-US"/>
        </w:rPr>
      </w:pPr>
      <w:r>
        <w:rPr>
          <w:b/>
          <w:bCs/>
          <w:lang w:val="en-US"/>
        </w:rPr>
        <w:t>(June 29</w:t>
      </w:r>
      <w:r w:rsidRPr="004275D2">
        <w:rPr>
          <w:b/>
          <w:bCs/>
          <w:vertAlign w:val="superscript"/>
          <w:lang w:val="en-US"/>
        </w:rPr>
        <w:t>th</w:t>
      </w:r>
      <w:r>
        <w:rPr>
          <w:b/>
          <w:bCs/>
          <w:lang w:val="en-US"/>
        </w:rPr>
        <w:t xml:space="preserve"> to July 1</w:t>
      </w:r>
      <w:r w:rsidR="0023084C" w:rsidRPr="0023084C">
        <w:rPr>
          <w:b/>
          <w:bCs/>
          <w:vertAlign w:val="superscript"/>
          <w:lang w:val="en-US"/>
        </w:rPr>
        <w:t>st</w:t>
      </w:r>
      <w:r w:rsidR="0023084C">
        <w:rPr>
          <w:b/>
          <w:bCs/>
          <w:lang w:val="en-US"/>
        </w:rPr>
        <w:t>)</w:t>
      </w:r>
    </w:p>
    <w:p w14:paraId="6F6C2F7F" w14:textId="6F2A65EF" w:rsidR="00D729E7" w:rsidRDefault="00D729E7" w:rsidP="00D729E7">
      <w:pPr>
        <w:rPr>
          <w:b/>
          <w:bCs/>
          <w:lang w:val="en-US"/>
        </w:rPr>
      </w:pPr>
      <w:r>
        <w:rPr>
          <w:b/>
          <w:bCs/>
          <w:lang w:val="en-US"/>
        </w:rPr>
        <w:t>Introduction</w:t>
      </w:r>
    </w:p>
    <w:p w14:paraId="3EFDF7AB" w14:textId="77777777" w:rsidR="00721540" w:rsidRDefault="00721540" w:rsidP="00721540">
      <w:pPr>
        <w:autoSpaceDE w:val="0"/>
        <w:autoSpaceDN w:val="0"/>
        <w:adjustRightInd w:val="0"/>
        <w:jc w:val="both"/>
      </w:pPr>
      <w:r>
        <w:t xml:space="preserve">The growth of the extractive industries sector in Africa is escalating and continues to present challenges for the public sector. The regulatory framework that is needed to ensure a sustainable development of the sector, a fair share of income and an equitable distribution of that income, is complex and challenging. </w:t>
      </w:r>
    </w:p>
    <w:p w14:paraId="43865496" w14:textId="6688BCF0" w:rsidR="00F60303" w:rsidRDefault="00F60303" w:rsidP="00F60303">
      <w:r>
        <w:t xml:space="preserve">AFRE has invested a lot in online learning as a way of responding to the changes that the COVID-19 pandemic has brought about in the way that we as an institution work. </w:t>
      </w:r>
      <w:r w:rsidR="007206B1">
        <w:t>This year’s 3 day online workshop will be held under the theme “ Transparency data working for communities”.</w:t>
      </w:r>
    </w:p>
    <w:p w14:paraId="7DD2560A" w14:textId="7F96674E" w:rsidR="007206B1" w:rsidRPr="007206B1" w:rsidRDefault="007206B1" w:rsidP="00F60303">
      <w:pPr>
        <w:rPr>
          <w:b/>
          <w:bCs/>
          <w:lang w:val="en-US"/>
        </w:rPr>
      </w:pPr>
      <w:r w:rsidRPr="007206B1">
        <w:rPr>
          <w:b/>
          <w:bCs/>
          <w:lang w:val="en-US"/>
        </w:rPr>
        <w:t>Detailed Program</w:t>
      </w:r>
    </w:p>
    <w:p w14:paraId="1C6D7E0C" w14:textId="46B4428A" w:rsidR="00E27357" w:rsidRDefault="00E27357" w:rsidP="005014BF">
      <w:pPr>
        <w:rPr>
          <w:b/>
          <w:bCs/>
          <w:lang w:val="en-US"/>
        </w:rPr>
      </w:pPr>
      <w:r>
        <w:rPr>
          <w:b/>
          <w:bCs/>
          <w:lang w:val="en-US"/>
        </w:rPr>
        <w:t>Day 1</w:t>
      </w:r>
    </w:p>
    <w:p w14:paraId="1AC42EF7" w14:textId="5CFBE60A" w:rsidR="00E27357" w:rsidRDefault="00294BD8" w:rsidP="005014BF">
      <w:pPr>
        <w:rPr>
          <w:lang w:val="en-US"/>
        </w:rPr>
      </w:pPr>
      <w:r>
        <w:rPr>
          <w:b/>
          <w:bCs/>
          <w:lang w:val="en-US"/>
        </w:rPr>
        <w:t>Summary</w:t>
      </w:r>
      <w:r w:rsidR="00E27357" w:rsidRPr="00CA381A">
        <w:rPr>
          <w:b/>
          <w:bCs/>
          <w:lang w:val="en-US"/>
        </w:rPr>
        <w:t>:</w:t>
      </w:r>
      <w:r w:rsidR="00E27357">
        <w:rPr>
          <w:lang w:val="en-US"/>
        </w:rPr>
        <w:t xml:space="preserve"> </w:t>
      </w:r>
      <w:r w:rsidR="00230CC7">
        <w:t>The focus for the day is “Open ownership/Beneficial ownership”. We are going to have a panel discussion over the topic and how such data and information can be used by stakeholders in the EI sector to improve transparency and accountability to the benefit of citizens</w:t>
      </w:r>
    </w:p>
    <w:tbl>
      <w:tblPr>
        <w:tblStyle w:val="TableGrid"/>
        <w:tblW w:w="0" w:type="auto"/>
        <w:jc w:val="center"/>
        <w:tblLook w:val="04A0" w:firstRow="1" w:lastRow="0" w:firstColumn="1" w:lastColumn="0" w:noHBand="0" w:noVBand="1"/>
      </w:tblPr>
      <w:tblGrid>
        <w:gridCol w:w="1705"/>
        <w:gridCol w:w="4305"/>
        <w:gridCol w:w="3006"/>
      </w:tblGrid>
      <w:tr w:rsidR="00E27357" w14:paraId="5CF01345" w14:textId="77777777" w:rsidTr="00C66C71">
        <w:trPr>
          <w:trHeight w:val="414"/>
          <w:jc w:val="center"/>
        </w:trPr>
        <w:tc>
          <w:tcPr>
            <w:tcW w:w="1705" w:type="dxa"/>
            <w:vAlign w:val="center"/>
          </w:tcPr>
          <w:p w14:paraId="559DBB54" w14:textId="6B50B955" w:rsidR="00E27357" w:rsidRPr="00E27357" w:rsidRDefault="00E27357" w:rsidP="005014BF">
            <w:pPr>
              <w:rPr>
                <w:b/>
                <w:bCs/>
                <w:lang w:val="en-US"/>
              </w:rPr>
            </w:pPr>
            <w:r>
              <w:rPr>
                <w:b/>
                <w:bCs/>
                <w:lang w:val="en-US"/>
              </w:rPr>
              <w:t xml:space="preserve">Time </w:t>
            </w:r>
          </w:p>
        </w:tc>
        <w:tc>
          <w:tcPr>
            <w:tcW w:w="4305" w:type="dxa"/>
            <w:vAlign w:val="center"/>
          </w:tcPr>
          <w:p w14:paraId="1F2874A3" w14:textId="2F711480" w:rsidR="00E27357" w:rsidRPr="00E27357" w:rsidRDefault="00E27357" w:rsidP="005014BF">
            <w:pPr>
              <w:rPr>
                <w:b/>
                <w:bCs/>
                <w:lang w:val="en-US"/>
              </w:rPr>
            </w:pPr>
            <w:r>
              <w:rPr>
                <w:b/>
                <w:bCs/>
                <w:lang w:val="en-US"/>
              </w:rPr>
              <w:t>Topic</w:t>
            </w:r>
          </w:p>
        </w:tc>
        <w:tc>
          <w:tcPr>
            <w:tcW w:w="3006" w:type="dxa"/>
            <w:vAlign w:val="center"/>
          </w:tcPr>
          <w:p w14:paraId="6E0F5300" w14:textId="48584AD5" w:rsidR="00E27357" w:rsidRPr="00E27357" w:rsidRDefault="00E27357" w:rsidP="005014BF">
            <w:pPr>
              <w:rPr>
                <w:b/>
                <w:bCs/>
                <w:lang w:val="en-US"/>
              </w:rPr>
            </w:pPr>
            <w:r>
              <w:rPr>
                <w:b/>
                <w:bCs/>
                <w:lang w:val="en-US"/>
              </w:rPr>
              <w:t>Responsible</w:t>
            </w:r>
          </w:p>
        </w:tc>
      </w:tr>
      <w:tr w:rsidR="00E27357" w:rsidRPr="003F6C91" w14:paraId="20D6CFAB" w14:textId="77777777" w:rsidTr="00C66C71">
        <w:trPr>
          <w:trHeight w:val="1000"/>
          <w:jc w:val="center"/>
        </w:trPr>
        <w:tc>
          <w:tcPr>
            <w:tcW w:w="1705" w:type="dxa"/>
            <w:vAlign w:val="center"/>
          </w:tcPr>
          <w:p w14:paraId="01202A0B" w14:textId="2EBF8199" w:rsidR="00E27357" w:rsidRDefault="00E27357" w:rsidP="005014BF">
            <w:pPr>
              <w:rPr>
                <w:lang w:val="en-US"/>
              </w:rPr>
            </w:pPr>
            <w:r>
              <w:rPr>
                <w:lang w:val="en-US"/>
              </w:rPr>
              <w:t>10:00 – 10:</w:t>
            </w:r>
            <w:r w:rsidR="003E6B95">
              <w:rPr>
                <w:lang w:val="en-US"/>
              </w:rPr>
              <w:t>3</w:t>
            </w:r>
            <w:r>
              <w:rPr>
                <w:lang w:val="en-US"/>
              </w:rPr>
              <w:t>0</w:t>
            </w:r>
          </w:p>
        </w:tc>
        <w:tc>
          <w:tcPr>
            <w:tcW w:w="4305" w:type="dxa"/>
            <w:vAlign w:val="center"/>
          </w:tcPr>
          <w:p w14:paraId="0157CABC" w14:textId="77777777" w:rsidR="00C66C71" w:rsidRDefault="00E27357" w:rsidP="005014BF">
            <w:pPr>
              <w:rPr>
                <w:lang w:val="en-US"/>
              </w:rPr>
            </w:pPr>
            <w:r>
              <w:rPr>
                <w:lang w:val="en-US"/>
              </w:rPr>
              <w:t>Welcome</w:t>
            </w:r>
          </w:p>
          <w:p w14:paraId="49F991A8" w14:textId="40638457" w:rsidR="00E27357" w:rsidRDefault="00E27357" w:rsidP="005014BF">
            <w:pPr>
              <w:rPr>
                <w:lang w:val="en-US"/>
              </w:rPr>
            </w:pPr>
            <w:r>
              <w:rPr>
                <w:lang w:val="en-US"/>
              </w:rPr>
              <w:t>Introduction</w:t>
            </w:r>
            <w:r w:rsidR="003E6B95">
              <w:rPr>
                <w:lang w:val="en-US"/>
              </w:rPr>
              <w:t xml:space="preserve"> of workshop</w:t>
            </w:r>
            <w:r w:rsidR="00FB18A7">
              <w:rPr>
                <w:lang w:val="en-US"/>
              </w:rPr>
              <w:t xml:space="preserve"> and day focus</w:t>
            </w:r>
          </w:p>
        </w:tc>
        <w:tc>
          <w:tcPr>
            <w:tcW w:w="3006" w:type="dxa"/>
            <w:vAlign w:val="center"/>
          </w:tcPr>
          <w:p w14:paraId="4CF38BEA" w14:textId="77777777" w:rsidR="00C66C71" w:rsidRDefault="00C66C71" w:rsidP="005014BF">
            <w:pPr>
              <w:rPr>
                <w:lang w:val="en-US"/>
              </w:rPr>
            </w:pPr>
          </w:p>
          <w:p w14:paraId="768C94F1" w14:textId="44D8D1C0" w:rsidR="00C66C71" w:rsidRDefault="00C66C71" w:rsidP="005014BF">
            <w:pPr>
              <w:rPr>
                <w:lang w:val="en-US"/>
              </w:rPr>
            </w:pPr>
            <w:r>
              <w:rPr>
                <w:lang w:val="en-US"/>
              </w:rPr>
              <w:t xml:space="preserve">Meisie Nkau </w:t>
            </w:r>
          </w:p>
          <w:p w14:paraId="7767B119" w14:textId="77EA675F" w:rsidR="00C66C71" w:rsidRDefault="00C66C71" w:rsidP="005014BF">
            <w:pPr>
              <w:rPr>
                <w:lang w:val="en-US"/>
              </w:rPr>
            </w:pPr>
            <w:r>
              <w:rPr>
                <w:lang w:val="en-US"/>
              </w:rPr>
              <w:t>Josephine Mukomba (AFRE)</w:t>
            </w:r>
          </w:p>
          <w:p w14:paraId="0655B393" w14:textId="0FA1295F" w:rsidR="004E47AC" w:rsidRDefault="004E47AC" w:rsidP="005014BF">
            <w:pPr>
              <w:rPr>
                <w:lang w:val="en-US"/>
              </w:rPr>
            </w:pPr>
          </w:p>
        </w:tc>
      </w:tr>
      <w:tr w:rsidR="00E27357" w:rsidRPr="003F6C91" w14:paraId="5FE7CA3A" w14:textId="77777777" w:rsidTr="00A834D5">
        <w:trPr>
          <w:jc w:val="center"/>
        </w:trPr>
        <w:tc>
          <w:tcPr>
            <w:tcW w:w="1705" w:type="dxa"/>
            <w:vAlign w:val="center"/>
          </w:tcPr>
          <w:p w14:paraId="6BE98E9D" w14:textId="677030C0" w:rsidR="00E27357" w:rsidRDefault="00E27357" w:rsidP="005014BF">
            <w:pPr>
              <w:rPr>
                <w:lang w:val="en-US"/>
              </w:rPr>
            </w:pPr>
            <w:r>
              <w:rPr>
                <w:lang w:val="en-US"/>
              </w:rPr>
              <w:t>10:</w:t>
            </w:r>
            <w:r w:rsidR="000A4624">
              <w:rPr>
                <w:lang w:val="en-US"/>
              </w:rPr>
              <w:t>35</w:t>
            </w:r>
            <w:r>
              <w:rPr>
                <w:lang w:val="en-US"/>
              </w:rPr>
              <w:t xml:space="preserve"> – 1</w:t>
            </w:r>
            <w:r w:rsidR="00CE5BE6">
              <w:rPr>
                <w:lang w:val="en-US"/>
              </w:rPr>
              <w:t>1</w:t>
            </w:r>
            <w:r>
              <w:rPr>
                <w:lang w:val="en-US"/>
              </w:rPr>
              <w:t>:</w:t>
            </w:r>
            <w:r w:rsidR="00CE5BE6">
              <w:rPr>
                <w:lang w:val="en-US"/>
              </w:rPr>
              <w:t>3</w:t>
            </w:r>
            <w:r>
              <w:rPr>
                <w:lang w:val="en-US"/>
              </w:rPr>
              <w:t>0</w:t>
            </w:r>
          </w:p>
        </w:tc>
        <w:tc>
          <w:tcPr>
            <w:tcW w:w="4305" w:type="dxa"/>
            <w:vAlign w:val="center"/>
          </w:tcPr>
          <w:p w14:paraId="7A10FF6A" w14:textId="0A92E604" w:rsidR="00E27357" w:rsidRDefault="000A4624" w:rsidP="005014BF">
            <w:pPr>
              <w:rPr>
                <w:lang w:val="en-US"/>
              </w:rPr>
            </w:pPr>
            <w:r>
              <w:rPr>
                <w:lang w:val="en-US"/>
              </w:rPr>
              <w:t>Keynote</w:t>
            </w:r>
            <w:r w:rsidR="00C82F08">
              <w:rPr>
                <w:lang w:val="en-US"/>
              </w:rPr>
              <w:t xml:space="preserve"> speaker</w:t>
            </w:r>
            <w:r w:rsidR="00EF3F49">
              <w:rPr>
                <w:lang w:val="en-US"/>
              </w:rPr>
              <w:t xml:space="preserve"> (20mins speech plus Q</w:t>
            </w:r>
            <w:r w:rsidR="00340C26">
              <w:rPr>
                <w:lang w:val="en-US"/>
              </w:rPr>
              <w:t>&amp;A)</w:t>
            </w:r>
          </w:p>
        </w:tc>
        <w:tc>
          <w:tcPr>
            <w:tcW w:w="3006" w:type="dxa"/>
            <w:vAlign w:val="center"/>
          </w:tcPr>
          <w:p w14:paraId="79237260" w14:textId="34BCCB3F" w:rsidR="004E47AC" w:rsidRDefault="00C66C71" w:rsidP="005014BF">
            <w:pPr>
              <w:rPr>
                <w:lang w:val="en-US"/>
              </w:rPr>
            </w:pPr>
            <w:r>
              <w:rPr>
                <w:lang w:val="en-US"/>
              </w:rPr>
              <w:t>Meisie Nkau (AFRE)</w:t>
            </w:r>
          </w:p>
        </w:tc>
      </w:tr>
      <w:tr w:rsidR="00E27357" w:rsidRPr="003F6C91" w14:paraId="44022035" w14:textId="77777777" w:rsidTr="00A834D5">
        <w:trPr>
          <w:jc w:val="center"/>
        </w:trPr>
        <w:tc>
          <w:tcPr>
            <w:tcW w:w="1705" w:type="dxa"/>
            <w:vAlign w:val="center"/>
          </w:tcPr>
          <w:p w14:paraId="5A460EED" w14:textId="3D1E03B5" w:rsidR="00E27357" w:rsidRPr="00570290" w:rsidRDefault="00E27357" w:rsidP="005014BF">
            <w:pPr>
              <w:rPr>
                <w:b/>
                <w:bCs/>
                <w:lang w:val="en-US"/>
              </w:rPr>
            </w:pPr>
            <w:r w:rsidRPr="00570290">
              <w:rPr>
                <w:b/>
                <w:bCs/>
                <w:lang w:val="en-US"/>
              </w:rPr>
              <w:t>1</w:t>
            </w:r>
            <w:r w:rsidR="00340C26" w:rsidRPr="00570290">
              <w:rPr>
                <w:b/>
                <w:bCs/>
                <w:lang w:val="en-US"/>
              </w:rPr>
              <w:t>1</w:t>
            </w:r>
            <w:r w:rsidRPr="00570290">
              <w:rPr>
                <w:b/>
                <w:bCs/>
                <w:lang w:val="en-US"/>
              </w:rPr>
              <w:t>:</w:t>
            </w:r>
            <w:r w:rsidR="00340C26" w:rsidRPr="00570290">
              <w:rPr>
                <w:b/>
                <w:bCs/>
                <w:lang w:val="en-US"/>
              </w:rPr>
              <w:t>3</w:t>
            </w:r>
            <w:r w:rsidRPr="00570290">
              <w:rPr>
                <w:b/>
                <w:bCs/>
                <w:lang w:val="en-US"/>
              </w:rPr>
              <w:t>0 – 11:</w:t>
            </w:r>
            <w:r w:rsidR="00340C26" w:rsidRPr="00570290">
              <w:rPr>
                <w:b/>
                <w:bCs/>
                <w:lang w:val="en-US"/>
              </w:rPr>
              <w:t>45</w:t>
            </w:r>
          </w:p>
        </w:tc>
        <w:tc>
          <w:tcPr>
            <w:tcW w:w="4305" w:type="dxa"/>
            <w:vAlign w:val="center"/>
          </w:tcPr>
          <w:p w14:paraId="4CB77D9A" w14:textId="3DD5923F" w:rsidR="00E27357" w:rsidRPr="00570290" w:rsidRDefault="00340C26" w:rsidP="005014BF">
            <w:pPr>
              <w:rPr>
                <w:b/>
                <w:bCs/>
                <w:lang w:val="en-US"/>
              </w:rPr>
            </w:pPr>
            <w:r w:rsidRPr="00570290">
              <w:rPr>
                <w:b/>
                <w:bCs/>
                <w:lang w:val="en-US"/>
              </w:rPr>
              <w:t xml:space="preserve">Comfort </w:t>
            </w:r>
            <w:r w:rsidR="00E769F2" w:rsidRPr="00570290">
              <w:rPr>
                <w:b/>
                <w:bCs/>
                <w:lang w:val="en-US"/>
              </w:rPr>
              <w:t>Break</w:t>
            </w:r>
          </w:p>
        </w:tc>
        <w:tc>
          <w:tcPr>
            <w:tcW w:w="3006" w:type="dxa"/>
            <w:vAlign w:val="center"/>
          </w:tcPr>
          <w:p w14:paraId="365A5F2D" w14:textId="5C167E3D" w:rsidR="00E27357" w:rsidRDefault="00E27357" w:rsidP="005014BF">
            <w:pPr>
              <w:rPr>
                <w:lang w:val="en-US"/>
              </w:rPr>
            </w:pPr>
          </w:p>
        </w:tc>
      </w:tr>
      <w:tr w:rsidR="00E27357" w:rsidRPr="003F6C91" w14:paraId="3F777AEE" w14:textId="77777777" w:rsidTr="00A834D5">
        <w:trPr>
          <w:jc w:val="center"/>
        </w:trPr>
        <w:tc>
          <w:tcPr>
            <w:tcW w:w="1705" w:type="dxa"/>
            <w:vAlign w:val="center"/>
          </w:tcPr>
          <w:p w14:paraId="31AC712F" w14:textId="735486A9" w:rsidR="00E27357" w:rsidRDefault="00E27357" w:rsidP="005014BF">
            <w:pPr>
              <w:rPr>
                <w:lang w:val="en-US"/>
              </w:rPr>
            </w:pPr>
            <w:r>
              <w:rPr>
                <w:lang w:val="en-US"/>
              </w:rPr>
              <w:t>11:</w:t>
            </w:r>
            <w:r w:rsidR="00E769F2">
              <w:rPr>
                <w:lang w:val="en-US"/>
              </w:rPr>
              <w:t>45</w:t>
            </w:r>
            <w:r>
              <w:rPr>
                <w:lang w:val="en-US"/>
              </w:rPr>
              <w:t xml:space="preserve"> – 1</w:t>
            </w:r>
            <w:r w:rsidR="00E769F2">
              <w:rPr>
                <w:lang w:val="en-US"/>
              </w:rPr>
              <w:t>2</w:t>
            </w:r>
            <w:r>
              <w:rPr>
                <w:lang w:val="en-US"/>
              </w:rPr>
              <w:t>:</w:t>
            </w:r>
            <w:r w:rsidR="00E769F2">
              <w:rPr>
                <w:lang w:val="en-US"/>
              </w:rPr>
              <w:t>4</w:t>
            </w:r>
            <w:r>
              <w:rPr>
                <w:lang w:val="en-US"/>
              </w:rPr>
              <w:t>5</w:t>
            </w:r>
          </w:p>
        </w:tc>
        <w:tc>
          <w:tcPr>
            <w:tcW w:w="4305" w:type="dxa"/>
            <w:vAlign w:val="center"/>
          </w:tcPr>
          <w:p w14:paraId="3F7EF67C" w14:textId="3C7D18F9" w:rsidR="00E27357" w:rsidRDefault="00E52F00" w:rsidP="005014BF">
            <w:pPr>
              <w:rPr>
                <w:lang w:val="en-US"/>
              </w:rPr>
            </w:pPr>
            <w:r>
              <w:rPr>
                <w:lang w:val="en-US"/>
              </w:rPr>
              <w:t>Panel discussion</w:t>
            </w:r>
            <w:r w:rsidR="00D359A5">
              <w:rPr>
                <w:lang w:val="en-US"/>
              </w:rPr>
              <w:t xml:space="preserve"> (EITI; ATAF; CW; </w:t>
            </w:r>
            <w:r w:rsidR="00C66C71">
              <w:rPr>
                <w:lang w:val="en-US"/>
              </w:rPr>
              <w:t>ZED; NCA</w:t>
            </w:r>
            <w:r w:rsidR="00D359A5">
              <w:rPr>
                <w:lang w:val="en-US"/>
              </w:rPr>
              <w:t>)</w:t>
            </w:r>
          </w:p>
        </w:tc>
        <w:tc>
          <w:tcPr>
            <w:tcW w:w="3006" w:type="dxa"/>
            <w:vAlign w:val="center"/>
          </w:tcPr>
          <w:p w14:paraId="04C2C7CB" w14:textId="07527700" w:rsidR="00E27357" w:rsidRPr="00E27357" w:rsidRDefault="004450AF" w:rsidP="005014BF">
            <w:pPr>
              <w:rPr>
                <w:lang w:val="en-US"/>
              </w:rPr>
            </w:pPr>
            <w:r>
              <w:rPr>
                <w:lang w:val="en-US"/>
              </w:rPr>
              <w:t>Wynand Wentzel (AFRE)</w:t>
            </w:r>
          </w:p>
        </w:tc>
      </w:tr>
      <w:tr w:rsidR="00E27357" w14:paraId="1FBFD93B" w14:textId="77777777" w:rsidTr="00A834D5">
        <w:trPr>
          <w:jc w:val="center"/>
        </w:trPr>
        <w:tc>
          <w:tcPr>
            <w:tcW w:w="1705" w:type="dxa"/>
            <w:vAlign w:val="center"/>
          </w:tcPr>
          <w:p w14:paraId="73BA374B" w14:textId="041D4D10" w:rsidR="00E27357" w:rsidRDefault="00E27357" w:rsidP="005014BF">
            <w:pPr>
              <w:rPr>
                <w:lang w:val="en-US"/>
              </w:rPr>
            </w:pPr>
            <w:r>
              <w:rPr>
                <w:lang w:val="en-US"/>
              </w:rPr>
              <w:t>1</w:t>
            </w:r>
            <w:r w:rsidR="00E52F00">
              <w:rPr>
                <w:lang w:val="en-US"/>
              </w:rPr>
              <w:t>2</w:t>
            </w:r>
            <w:r>
              <w:rPr>
                <w:lang w:val="en-US"/>
              </w:rPr>
              <w:t>:</w:t>
            </w:r>
            <w:r w:rsidR="00E52F00">
              <w:rPr>
                <w:lang w:val="en-US"/>
              </w:rPr>
              <w:t>4</w:t>
            </w:r>
            <w:r>
              <w:rPr>
                <w:lang w:val="en-US"/>
              </w:rPr>
              <w:t>5 – 1</w:t>
            </w:r>
            <w:r w:rsidR="00E52F00">
              <w:rPr>
                <w:lang w:val="en-US"/>
              </w:rPr>
              <w:t>3</w:t>
            </w:r>
            <w:r>
              <w:rPr>
                <w:lang w:val="en-US"/>
              </w:rPr>
              <w:t>:</w:t>
            </w:r>
            <w:r w:rsidR="00E52F00">
              <w:rPr>
                <w:lang w:val="en-US"/>
              </w:rPr>
              <w:t>0</w:t>
            </w:r>
            <w:r>
              <w:rPr>
                <w:lang w:val="en-US"/>
              </w:rPr>
              <w:t>0</w:t>
            </w:r>
          </w:p>
        </w:tc>
        <w:tc>
          <w:tcPr>
            <w:tcW w:w="4305" w:type="dxa"/>
            <w:vAlign w:val="center"/>
          </w:tcPr>
          <w:p w14:paraId="49E83BBF" w14:textId="7A800CFE" w:rsidR="00E27357" w:rsidRDefault="00E27357" w:rsidP="005014BF">
            <w:pPr>
              <w:rPr>
                <w:lang w:val="en-US"/>
              </w:rPr>
            </w:pPr>
            <w:r>
              <w:rPr>
                <w:lang w:val="en-US"/>
              </w:rPr>
              <w:t>Wrap up and closing of day 1</w:t>
            </w:r>
          </w:p>
        </w:tc>
        <w:tc>
          <w:tcPr>
            <w:tcW w:w="3006" w:type="dxa"/>
            <w:vAlign w:val="center"/>
          </w:tcPr>
          <w:p w14:paraId="6D48DFD5" w14:textId="7AFAE8CE" w:rsidR="00E27357" w:rsidRDefault="006E2AC5" w:rsidP="005014BF">
            <w:pPr>
              <w:rPr>
                <w:lang w:val="en-US"/>
              </w:rPr>
            </w:pPr>
            <w:r>
              <w:rPr>
                <w:lang w:val="en-US"/>
              </w:rPr>
              <w:t>Ed (AFRE)</w:t>
            </w:r>
          </w:p>
        </w:tc>
      </w:tr>
    </w:tbl>
    <w:p w14:paraId="6C4386FF" w14:textId="759EC6CA" w:rsidR="00E27357" w:rsidRPr="00A834D5" w:rsidRDefault="00E27357" w:rsidP="005014BF"/>
    <w:p w14:paraId="1BBDD72F" w14:textId="701BE14D" w:rsidR="005014BF" w:rsidRDefault="00CA381A" w:rsidP="005014BF">
      <w:pPr>
        <w:rPr>
          <w:b/>
          <w:bCs/>
          <w:lang w:val="en-US"/>
        </w:rPr>
      </w:pPr>
      <w:r>
        <w:rPr>
          <w:b/>
          <w:bCs/>
          <w:lang w:val="en-US"/>
        </w:rPr>
        <w:t>Day 2</w:t>
      </w:r>
    </w:p>
    <w:p w14:paraId="789F2887" w14:textId="4590F331" w:rsidR="00CA381A" w:rsidRPr="004E71EB" w:rsidRDefault="00294BD8" w:rsidP="005014BF">
      <w:pPr>
        <w:rPr>
          <w:lang w:val="en-US"/>
        </w:rPr>
      </w:pPr>
      <w:r>
        <w:rPr>
          <w:b/>
          <w:bCs/>
          <w:lang w:val="en-US"/>
        </w:rPr>
        <w:t>Summary</w:t>
      </w:r>
      <w:r w:rsidR="00CA381A">
        <w:rPr>
          <w:b/>
          <w:bCs/>
          <w:lang w:val="en-US"/>
        </w:rPr>
        <w:t xml:space="preserve">: </w:t>
      </w:r>
      <w:r w:rsidR="00B76EFE">
        <w:t>The focus for the day is “Using EI data for risk assessment”. We are going to have presentations by industry experts on the availability and usage of such data by auditors to improve the qua</w:t>
      </w:r>
      <w:r w:rsidR="00D027BA">
        <w:t>l</w:t>
      </w:r>
      <w:r w:rsidR="00B76EFE">
        <w:t>ity of their risk assessments.</w:t>
      </w:r>
    </w:p>
    <w:tbl>
      <w:tblPr>
        <w:tblStyle w:val="TableGrid"/>
        <w:tblW w:w="0" w:type="auto"/>
        <w:tblLook w:val="04A0" w:firstRow="1" w:lastRow="0" w:firstColumn="1" w:lastColumn="0" w:noHBand="0" w:noVBand="1"/>
      </w:tblPr>
      <w:tblGrid>
        <w:gridCol w:w="1705"/>
        <w:gridCol w:w="4305"/>
        <w:gridCol w:w="3006"/>
      </w:tblGrid>
      <w:tr w:rsidR="00CA381A" w14:paraId="653207F3" w14:textId="77777777" w:rsidTr="00A834D5">
        <w:tc>
          <w:tcPr>
            <w:tcW w:w="1705" w:type="dxa"/>
            <w:vAlign w:val="center"/>
          </w:tcPr>
          <w:p w14:paraId="146457A9" w14:textId="1BA2897F" w:rsidR="00CA381A" w:rsidRDefault="00CA381A" w:rsidP="00CA381A">
            <w:pPr>
              <w:rPr>
                <w:b/>
                <w:bCs/>
                <w:lang w:val="en-US"/>
              </w:rPr>
            </w:pPr>
            <w:r>
              <w:rPr>
                <w:b/>
                <w:bCs/>
                <w:lang w:val="en-US"/>
              </w:rPr>
              <w:t xml:space="preserve">Time </w:t>
            </w:r>
          </w:p>
        </w:tc>
        <w:tc>
          <w:tcPr>
            <w:tcW w:w="4305" w:type="dxa"/>
            <w:vAlign w:val="center"/>
          </w:tcPr>
          <w:p w14:paraId="6883A5FD" w14:textId="45817C44" w:rsidR="00CA381A" w:rsidRDefault="00CA381A" w:rsidP="00CA381A">
            <w:pPr>
              <w:rPr>
                <w:b/>
                <w:bCs/>
                <w:lang w:val="en-US"/>
              </w:rPr>
            </w:pPr>
            <w:r>
              <w:rPr>
                <w:b/>
                <w:bCs/>
                <w:lang w:val="en-US"/>
              </w:rPr>
              <w:t>Topic</w:t>
            </w:r>
          </w:p>
        </w:tc>
        <w:tc>
          <w:tcPr>
            <w:tcW w:w="3006" w:type="dxa"/>
            <w:vAlign w:val="center"/>
          </w:tcPr>
          <w:p w14:paraId="1D83D293" w14:textId="13892036" w:rsidR="00CA381A" w:rsidRDefault="00CA381A" w:rsidP="00CA381A">
            <w:pPr>
              <w:rPr>
                <w:b/>
                <w:bCs/>
                <w:lang w:val="en-US"/>
              </w:rPr>
            </w:pPr>
            <w:r>
              <w:rPr>
                <w:b/>
                <w:bCs/>
                <w:lang w:val="en-US"/>
              </w:rPr>
              <w:t>Responsible</w:t>
            </w:r>
          </w:p>
        </w:tc>
      </w:tr>
      <w:tr w:rsidR="00706682" w14:paraId="12834F85" w14:textId="77777777" w:rsidTr="00A834D5">
        <w:tc>
          <w:tcPr>
            <w:tcW w:w="1705" w:type="dxa"/>
            <w:vAlign w:val="center"/>
          </w:tcPr>
          <w:p w14:paraId="4B67D81B" w14:textId="7BB9B331" w:rsidR="00706682" w:rsidRPr="00CA381A" w:rsidRDefault="00706682" w:rsidP="00706682">
            <w:pPr>
              <w:rPr>
                <w:lang w:val="en-US"/>
              </w:rPr>
            </w:pPr>
            <w:r>
              <w:rPr>
                <w:lang w:val="en-US"/>
              </w:rPr>
              <w:t>10:00 – 10:30</w:t>
            </w:r>
          </w:p>
        </w:tc>
        <w:tc>
          <w:tcPr>
            <w:tcW w:w="4305" w:type="dxa"/>
            <w:vAlign w:val="center"/>
          </w:tcPr>
          <w:p w14:paraId="68491DA8" w14:textId="77777777" w:rsidR="004B102F" w:rsidRDefault="004B102F" w:rsidP="004B102F">
            <w:pPr>
              <w:rPr>
                <w:lang w:val="en-US"/>
              </w:rPr>
            </w:pPr>
            <w:r>
              <w:rPr>
                <w:lang w:val="en-US"/>
              </w:rPr>
              <w:t>Welcome.</w:t>
            </w:r>
          </w:p>
          <w:p w14:paraId="69DA740D" w14:textId="25038C0D" w:rsidR="00706682" w:rsidRPr="00CA381A" w:rsidRDefault="004B102F" w:rsidP="004B102F">
            <w:pPr>
              <w:rPr>
                <w:lang w:val="en-US"/>
              </w:rPr>
            </w:pPr>
            <w:r>
              <w:rPr>
                <w:lang w:val="en-US"/>
              </w:rPr>
              <w:t>Introduction of day focus,</w:t>
            </w:r>
          </w:p>
        </w:tc>
        <w:tc>
          <w:tcPr>
            <w:tcW w:w="3006" w:type="dxa"/>
            <w:vAlign w:val="center"/>
          </w:tcPr>
          <w:p w14:paraId="7CA2F44E" w14:textId="78108F62" w:rsidR="00706682" w:rsidRPr="00CA381A" w:rsidRDefault="00E875FC" w:rsidP="00706682">
            <w:pPr>
              <w:rPr>
                <w:lang w:val="en-US"/>
              </w:rPr>
            </w:pPr>
            <w:r>
              <w:rPr>
                <w:lang w:val="en-US"/>
              </w:rPr>
              <w:t>Nikeziwe (AFRE)</w:t>
            </w:r>
          </w:p>
        </w:tc>
      </w:tr>
      <w:tr w:rsidR="00706682" w14:paraId="1EB77BA4" w14:textId="77777777" w:rsidTr="00A834D5">
        <w:tc>
          <w:tcPr>
            <w:tcW w:w="1705" w:type="dxa"/>
            <w:vAlign w:val="center"/>
          </w:tcPr>
          <w:p w14:paraId="528E6C78" w14:textId="40058BAA" w:rsidR="00706682" w:rsidRPr="00CA381A" w:rsidRDefault="00706682" w:rsidP="00706682">
            <w:pPr>
              <w:rPr>
                <w:lang w:val="en-US"/>
              </w:rPr>
            </w:pPr>
            <w:r>
              <w:rPr>
                <w:lang w:val="en-US"/>
              </w:rPr>
              <w:t>10:35 – 11:30</w:t>
            </w:r>
          </w:p>
        </w:tc>
        <w:tc>
          <w:tcPr>
            <w:tcW w:w="4305" w:type="dxa"/>
            <w:vAlign w:val="center"/>
          </w:tcPr>
          <w:p w14:paraId="2FDDEA06" w14:textId="77777777" w:rsidR="00706682" w:rsidRDefault="00AB4CB9" w:rsidP="00706682">
            <w:pPr>
              <w:rPr>
                <w:lang w:val="en-US"/>
              </w:rPr>
            </w:pPr>
            <w:r>
              <w:rPr>
                <w:lang w:val="en-US"/>
              </w:rPr>
              <w:t>Presentation</w:t>
            </w:r>
            <w:r w:rsidR="00227660">
              <w:rPr>
                <w:lang w:val="en-US"/>
              </w:rPr>
              <w:t xml:space="preserve"> 1</w:t>
            </w:r>
            <w:r>
              <w:rPr>
                <w:lang w:val="en-US"/>
              </w:rPr>
              <w:t xml:space="preserve"> (NRGI</w:t>
            </w:r>
            <w:r w:rsidR="00CC57C1">
              <w:rPr>
                <w:lang w:val="en-US"/>
              </w:rPr>
              <w:t>)</w:t>
            </w:r>
          </w:p>
          <w:p w14:paraId="3CE4188D" w14:textId="309554FC" w:rsidR="00227660" w:rsidRPr="00CA381A" w:rsidRDefault="00227660" w:rsidP="00065A1C">
            <w:pPr>
              <w:rPr>
                <w:lang w:val="en-US"/>
              </w:rPr>
            </w:pPr>
            <w:r>
              <w:rPr>
                <w:lang w:val="en-US"/>
              </w:rPr>
              <w:t>Presentation 2 (</w:t>
            </w:r>
            <w:r w:rsidR="000C62A4">
              <w:rPr>
                <w:lang w:val="en-US"/>
              </w:rPr>
              <w:t>Tax Justice International</w:t>
            </w:r>
            <w:r>
              <w:rPr>
                <w:lang w:val="en-US"/>
              </w:rPr>
              <w:t>)</w:t>
            </w:r>
          </w:p>
        </w:tc>
        <w:tc>
          <w:tcPr>
            <w:tcW w:w="3006" w:type="dxa"/>
            <w:vAlign w:val="center"/>
          </w:tcPr>
          <w:p w14:paraId="158EB4B7" w14:textId="5308F034" w:rsidR="00706682" w:rsidRPr="00CA381A" w:rsidRDefault="00021DB4" w:rsidP="00706682">
            <w:pPr>
              <w:rPr>
                <w:lang w:val="en-US"/>
              </w:rPr>
            </w:pPr>
            <w:r>
              <w:rPr>
                <w:lang w:val="en-US"/>
              </w:rPr>
              <w:t>SAI Norway</w:t>
            </w:r>
          </w:p>
        </w:tc>
      </w:tr>
      <w:tr w:rsidR="00706682" w:rsidRPr="003F6C91" w14:paraId="1BA14866" w14:textId="77777777" w:rsidTr="00A834D5">
        <w:tc>
          <w:tcPr>
            <w:tcW w:w="1705" w:type="dxa"/>
            <w:vAlign w:val="center"/>
          </w:tcPr>
          <w:p w14:paraId="000F0E09" w14:textId="38E52E8F" w:rsidR="00706682" w:rsidRPr="00570290" w:rsidRDefault="00706682" w:rsidP="00706682">
            <w:pPr>
              <w:rPr>
                <w:b/>
                <w:bCs/>
                <w:lang w:val="en-US"/>
              </w:rPr>
            </w:pPr>
            <w:r w:rsidRPr="00570290">
              <w:rPr>
                <w:b/>
                <w:bCs/>
                <w:lang w:val="en-US"/>
              </w:rPr>
              <w:t>11:30 – 11:45</w:t>
            </w:r>
          </w:p>
        </w:tc>
        <w:tc>
          <w:tcPr>
            <w:tcW w:w="4305" w:type="dxa"/>
            <w:vAlign w:val="center"/>
          </w:tcPr>
          <w:p w14:paraId="5C9A1F5F" w14:textId="402580FF" w:rsidR="00706682" w:rsidRPr="00570290" w:rsidRDefault="005E0DFD" w:rsidP="00706682">
            <w:pPr>
              <w:rPr>
                <w:b/>
                <w:bCs/>
                <w:lang w:val="en-US"/>
              </w:rPr>
            </w:pPr>
            <w:r w:rsidRPr="00570290">
              <w:rPr>
                <w:b/>
                <w:bCs/>
                <w:lang w:val="en-US"/>
              </w:rPr>
              <w:t>Comfort Break</w:t>
            </w:r>
          </w:p>
        </w:tc>
        <w:tc>
          <w:tcPr>
            <w:tcW w:w="3006" w:type="dxa"/>
            <w:vAlign w:val="center"/>
          </w:tcPr>
          <w:p w14:paraId="1FB270E2" w14:textId="20115A26" w:rsidR="00706682" w:rsidRPr="00CA381A" w:rsidRDefault="00706682" w:rsidP="00706682">
            <w:pPr>
              <w:rPr>
                <w:lang w:val="en-US"/>
              </w:rPr>
            </w:pPr>
          </w:p>
        </w:tc>
      </w:tr>
      <w:tr w:rsidR="00706682" w14:paraId="4809F31B" w14:textId="77777777" w:rsidTr="00A834D5">
        <w:tc>
          <w:tcPr>
            <w:tcW w:w="1705" w:type="dxa"/>
            <w:vAlign w:val="center"/>
          </w:tcPr>
          <w:p w14:paraId="156330AC" w14:textId="1AD483B9" w:rsidR="00706682" w:rsidRPr="00CA381A" w:rsidRDefault="00706682" w:rsidP="00706682">
            <w:pPr>
              <w:rPr>
                <w:lang w:val="en-US"/>
              </w:rPr>
            </w:pPr>
            <w:r>
              <w:rPr>
                <w:lang w:val="en-US"/>
              </w:rPr>
              <w:t>11:</w:t>
            </w:r>
            <w:r w:rsidR="00C74F94">
              <w:rPr>
                <w:lang w:val="en-US"/>
              </w:rPr>
              <w:t>50</w:t>
            </w:r>
            <w:r>
              <w:rPr>
                <w:lang w:val="en-US"/>
              </w:rPr>
              <w:t xml:space="preserve"> – 12:45</w:t>
            </w:r>
          </w:p>
        </w:tc>
        <w:tc>
          <w:tcPr>
            <w:tcW w:w="4305" w:type="dxa"/>
            <w:vAlign w:val="center"/>
          </w:tcPr>
          <w:p w14:paraId="67B4871A" w14:textId="2348969E" w:rsidR="00706682" w:rsidRDefault="00AB4CB9" w:rsidP="00706682">
            <w:pPr>
              <w:rPr>
                <w:lang w:val="en-US"/>
              </w:rPr>
            </w:pPr>
            <w:r>
              <w:rPr>
                <w:lang w:val="en-US"/>
              </w:rPr>
              <w:t>Presentation</w:t>
            </w:r>
            <w:r w:rsidR="00065A1C">
              <w:rPr>
                <w:lang w:val="en-US"/>
              </w:rPr>
              <w:t xml:space="preserve"> 1</w:t>
            </w:r>
            <w:r w:rsidR="00CC57C1">
              <w:rPr>
                <w:lang w:val="en-US"/>
              </w:rPr>
              <w:t xml:space="preserve"> (</w:t>
            </w:r>
            <w:r w:rsidR="007A6943">
              <w:rPr>
                <w:lang w:val="en-US"/>
              </w:rPr>
              <w:t>TBA</w:t>
            </w:r>
            <w:r w:rsidR="00CC57C1">
              <w:rPr>
                <w:lang w:val="en-US"/>
              </w:rPr>
              <w:t>)</w:t>
            </w:r>
          </w:p>
          <w:p w14:paraId="194EF221" w14:textId="250A7078" w:rsidR="00065A1C" w:rsidRPr="00CA381A" w:rsidRDefault="00065A1C" w:rsidP="00706682">
            <w:pPr>
              <w:rPr>
                <w:lang w:val="en-US"/>
              </w:rPr>
            </w:pPr>
            <w:r>
              <w:rPr>
                <w:lang w:val="en-US"/>
              </w:rPr>
              <w:t>Presentation 2 (</w:t>
            </w:r>
            <w:r w:rsidR="007A6943">
              <w:rPr>
                <w:lang w:val="en-US"/>
              </w:rPr>
              <w:t>TBA</w:t>
            </w:r>
            <w:r>
              <w:rPr>
                <w:lang w:val="en-US"/>
              </w:rPr>
              <w:t>)</w:t>
            </w:r>
          </w:p>
        </w:tc>
        <w:tc>
          <w:tcPr>
            <w:tcW w:w="3006" w:type="dxa"/>
            <w:vAlign w:val="center"/>
          </w:tcPr>
          <w:p w14:paraId="04ABA5F2" w14:textId="6F0B247A" w:rsidR="00706682" w:rsidRPr="00CA381A" w:rsidRDefault="007A6943" w:rsidP="00706682">
            <w:pPr>
              <w:rPr>
                <w:lang w:val="en-US"/>
              </w:rPr>
            </w:pPr>
            <w:r>
              <w:rPr>
                <w:lang w:val="en-US"/>
              </w:rPr>
              <w:t>Bobo &amp; Hanne</w:t>
            </w:r>
          </w:p>
        </w:tc>
      </w:tr>
      <w:tr w:rsidR="00706682" w14:paraId="7ABCF7A2" w14:textId="77777777" w:rsidTr="00A834D5">
        <w:tc>
          <w:tcPr>
            <w:tcW w:w="1705" w:type="dxa"/>
            <w:vAlign w:val="center"/>
          </w:tcPr>
          <w:p w14:paraId="1E1274B8" w14:textId="0F544E7C" w:rsidR="00706682" w:rsidRDefault="00706682" w:rsidP="00706682">
            <w:pPr>
              <w:rPr>
                <w:lang w:val="en-US"/>
              </w:rPr>
            </w:pPr>
            <w:r>
              <w:rPr>
                <w:lang w:val="en-US"/>
              </w:rPr>
              <w:t>12:45 – 13:00</w:t>
            </w:r>
          </w:p>
        </w:tc>
        <w:tc>
          <w:tcPr>
            <w:tcW w:w="4305" w:type="dxa"/>
            <w:vAlign w:val="center"/>
          </w:tcPr>
          <w:p w14:paraId="451470EA" w14:textId="6FA3A59E" w:rsidR="00706682" w:rsidRPr="00CA381A" w:rsidRDefault="00553C83" w:rsidP="00706682">
            <w:pPr>
              <w:rPr>
                <w:lang w:val="en-US"/>
              </w:rPr>
            </w:pPr>
            <w:r>
              <w:rPr>
                <w:lang w:val="en-US"/>
              </w:rPr>
              <w:t>Wrap up and closing of day 2</w:t>
            </w:r>
          </w:p>
        </w:tc>
        <w:tc>
          <w:tcPr>
            <w:tcW w:w="3006" w:type="dxa"/>
            <w:vAlign w:val="center"/>
          </w:tcPr>
          <w:p w14:paraId="3C3C9215" w14:textId="40D04E9F" w:rsidR="00706682" w:rsidRPr="00CA381A" w:rsidRDefault="00E875FC" w:rsidP="00706682">
            <w:pPr>
              <w:rPr>
                <w:lang w:val="en-US"/>
              </w:rPr>
            </w:pPr>
            <w:r>
              <w:rPr>
                <w:lang w:val="en-US"/>
              </w:rPr>
              <w:t>Ed</w:t>
            </w:r>
            <w:r w:rsidR="008B3C14">
              <w:rPr>
                <w:lang w:val="en-US"/>
              </w:rPr>
              <w:t xml:space="preserve"> (AFRE)</w:t>
            </w:r>
          </w:p>
        </w:tc>
      </w:tr>
    </w:tbl>
    <w:p w14:paraId="1ED7C7A9" w14:textId="77777777" w:rsidR="00B76EFE" w:rsidRDefault="00B76EFE" w:rsidP="005014BF">
      <w:pPr>
        <w:rPr>
          <w:lang w:val="en-US"/>
        </w:rPr>
      </w:pPr>
    </w:p>
    <w:p w14:paraId="46B3DE51" w14:textId="3FF1BAA3" w:rsidR="00B76EFE" w:rsidRDefault="00B76EFE" w:rsidP="00B76EFE">
      <w:pPr>
        <w:rPr>
          <w:b/>
          <w:bCs/>
          <w:lang w:val="en-US"/>
        </w:rPr>
      </w:pPr>
      <w:r>
        <w:rPr>
          <w:b/>
          <w:bCs/>
          <w:lang w:val="en-US"/>
        </w:rPr>
        <w:lastRenderedPageBreak/>
        <w:t>Day 3</w:t>
      </w:r>
    </w:p>
    <w:p w14:paraId="07EEB100" w14:textId="793E0299" w:rsidR="005014BF" w:rsidRDefault="00B76EFE" w:rsidP="00B76EFE">
      <w:r>
        <w:rPr>
          <w:b/>
          <w:bCs/>
          <w:lang w:val="en-US"/>
        </w:rPr>
        <w:t>Summary:</w:t>
      </w:r>
      <w:r w:rsidR="00F218A4" w:rsidRPr="00F218A4">
        <w:t xml:space="preserve"> </w:t>
      </w:r>
      <w:r w:rsidR="00F218A4">
        <w:t>The focus for the day is “The way forward for SAIs”. The day is for SAIs only, we will have high level recap of the past two days from SAI staff and from there SAIs will share their preliminary plans on the way forward. This is also a day when we will take stock of the progress SAIs have made in Extractive Industries audit.</w:t>
      </w:r>
    </w:p>
    <w:p w14:paraId="5AF6AB4E" w14:textId="4416B5C3" w:rsidR="005625D2" w:rsidRDefault="005625D2" w:rsidP="00B76EFE"/>
    <w:tbl>
      <w:tblPr>
        <w:tblStyle w:val="TableGrid"/>
        <w:tblW w:w="0" w:type="auto"/>
        <w:tblLook w:val="04A0" w:firstRow="1" w:lastRow="0" w:firstColumn="1" w:lastColumn="0" w:noHBand="0" w:noVBand="1"/>
      </w:tblPr>
      <w:tblGrid>
        <w:gridCol w:w="1705"/>
        <w:gridCol w:w="4305"/>
        <w:gridCol w:w="3006"/>
      </w:tblGrid>
      <w:tr w:rsidR="005625D2" w14:paraId="774587F2" w14:textId="77777777" w:rsidTr="00936C34">
        <w:tc>
          <w:tcPr>
            <w:tcW w:w="1705" w:type="dxa"/>
            <w:vAlign w:val="center"/>
          </w:tcPr>
          <w:p w14:paraId="7E4E17D5" w14:textId="77777777" w:rsidR="005625D2" w:rsidRDefault="005625D2" w:rsidP="00936C34">
            <w:pPr>
              <w:rPr>
                <w:b/>
                <w:bCs/>
                <w:lang w:val="en-US"/>
              </w:rPr>
            </w:pPr>
            <w:r>
              <w:rPr>
                <w:b/>
                <w:bCs/>
                <w:lang w:val="en-US"/>
              </w:rPr>
              <w:t xml:space="preserve">Time </w:t>
            </w:r>
          </w:p>
        </w:tc>
        <w:tc>
          <w:tcPr>
            <w:tcW w:w="4305" w:type="dxa"/>
            <w:vAlign w:val="center"/>
          </w:tcPr>
          <w:p w14:paraId="14F5538C" w14:textId="77777777" w:rsidR="005625D2" w:rsidRDefault="005625D2" w:rsidP="00936C34">
            <w:pPr>
              <w:rPr>
                <w:b/>
                <w:bCs/>
                <w:lang w:val="en-US"/>
              </w:rPr>
            </w:pPr>
            <w:r>
              <w:rPr>
                <w:b/>
                <w:bCs/>
                <w:lang w:val="en-US"/>
              </w:rPr>
              <w:t>Topic</w:t>
            </w:r>
          </w:p>
        </w:tc>
        <w:tc>
          <w:tcPr>
            <w:tcW w:w="3006" w:type="dxa"/>
            <w:vAlign w:val="center"/>
          </w:tcPr>
          <w:p w14:paraId="2292DD6E" w14:textId="77777777" w:rsidR="005625D2" w:rsidRDefault="005625D2" w:rsidP="00936C34">
            <w:pPr>
              <w:rPr>
                <w:b/>
                <w:bCs/>
                <w:lang w:val="en-US"/>
              </w:rPr>
            </w:pPr>
            <w:r>
              <w:rPr>
                <w:b/>
                <w:bCs/>
                <w:lang w:val="en-US"/>
              </w:rPr>
              <w:t>Responsible</w:t>
            </w:r>
          </w:p>
        </w:tc>
      </w:tr>
      <w:tr w:rsidR="005625D2" w14:paraId="03D54169" w14:textId="77777777" w:rsidTr="00936C34">
        <w:tc>
          <w:tcPr>
            <w:tcW w:w="1705" w:type="dxa"/>
            <w:vAlign w:val="center"/>
          </w:tcPr>
          <w:p w14:paraId="417D3797" w14:textId="77777777" w:rsidR="005625D2" w:rsidRPr="00CA381A" w:rsidRDefault="005625D2" w:rsidP="00936C34">
            <w:pPr>
              <w:rPr>
                <w:lang w:val="en-US"/>
              </w:rPr>
            </w:pPr>
            <w:r>
              <w:rPr>
                <w:lang w:val="en-US"/>
              </w:rPr>
              <w:t>10:00 – 10:30</w:t>
            </w:r>
          </w:p>
        </w:tc>
        <w:tc>
          <w:tcPr>
            <w:tcW w:w="4305" w:type="dxa"/>
            <w:vAlign w:val="center"/>
          </w:tcPr>
          <w:p w14:paraId="7B00D162" w14:textId="77777777" w:rsidR="009C78DD" w:rsidRDefault="005625D2" w:rsidP="00936C34">
            <w:pPr>
              <w:rPr>
                <w:lang w:val="en-US"/>
              </w:rPr>
            </w:pPr>
            <w:r>
              <w:rPr>
                <w:lang w:val="en-US"/>
              </w:rPr>
              <w:t>Welcome</w:t>
            </w:r>
            <w:r w:rsidR="009C78DD">
              <w:rPr>
                <w:lang w:val="en-US"/>
              </w:rPr>
              <w:t>.</w:t>
            </w:r>
          </w:p>
          <w:p w14:paraId="34DCCF0C" w14:textId="77777777" w:rsidR="005625D2" w:rsidRDefault="005625D2" w:rsidP="00936C34">
            <w:pPr>
              <w:rPr>
                <w:lang w:val="en-US"/>
              </w:rPr>
            </w:pPr>
            <w:r>
              <w:rPr>
                <w:lang w:val="en-US"/>
              </w:rPr>
              <w:t>Introduction of day focus</w:t>
            </w:r>
            <w:r w:rsidR="009C78DD">
              <w:rPr>
                <w:lang w:val="en-US"/>
              </w:rPr>
              <w:t>,</w:t>
            </w:r>
          </w:p>
          <w:p w14:paraId="7BCA6C40" w14:textId="7BF9285D" w:rsidR="009C78DD" w:rsidRPr="00CA381A" w:rsidRDefault="009C78DD" w:rsidP="00936C34">
            <w:pPr>
              <w:rPr>
                <w:lang w:val="en-US"/>
              </w:rPr>
            </w:pPr>
            <w:r>
              <w:rPr>
                <w:lang w:val="en-US"/>
              </w:rPr>
              <w:t xml:space="preserve">Recap </w:t>
            </w:r>
            <w:r w:rsidR="004B102F">
              <w:rPr>
                <w:lang w:val="en-US"/>
              </w:rPr>
              <w:t>of previous 2 days takeaways</w:t>
            </w:r>
          </w:p>
        </w:tc>
        <w:tc>
          <w:tcPr>
            <w:tcW w:w="3006" w:type="dxa"/>
            <w:vAlign w:val="center"/>
          </w:tcPr>
          <w:p w14:paraId="1FA7CFA2" w14:textId="755AB423" w:rsidR="005625D2" w:rsidRPr="00CA381A" w:rsidRDefault="005625D2" w:rsidP="00936C34">
            <w:pPr>
              <w:rPr>
                <w:lang w:val="en-US"/>
              </w:rPr>
            </w:pPr>
            <w:r>
              <w:rPr>
                <w:lang w:val="en-US"/>
              </w:rPr>
              <w:t>Josephine Mukomba (AFRE)</w:t>
            </w:r>
          </w:p>
        </w:tc>
      </w:tr>
      <w:tr w:rsidR="005625D2" w14:paraId="2B7C932B" w14:textId="77777777" w:rsidTr="00936C34">
        <w:tc>
          <w:tcPr>
            <w:tcW w:w="1705" w:type="dxa"/>
            <w:vAlign w:val="center"/>
          </w:tcPr>
          <w:p w14:paraId="273B1E88" w14:textId="77777777" w:rsidR="005625D2" w:rsidRPr="00CA381A" w:rsidRDefault="005625D2" w:rsidP="00936C34">
            <w:pPr>
              <w:rPr>
                <w:lang w:val="en-US"/>
              </w:rPr>
            </w:pPr>
            <w:r>
              <w:rPr>
                <w:lang w:val="en-US"/>
              </w:rPr>
              <w:t>10:35 – 11:30</w:t>
            </w:r>
          </w:p>
        </w:tc>
        <w:tc>
          <w:tcPr>
            <w:tcW w:w="4305" w:type="dxa"/>
            <w:vAlign w:val="center"/>
          </w:tcPr>
          <w:p w14:paraId="0CF0BF10" w14:textId="4C9DBA12" w:rsidR="005625D2" w:rsidRDefault="00CC57C1" w:rsidP="00936C34">
            <w:pPr>
              <w:rPr>
                <w:lang w:val="en-US"/>
              </w:rPr>
            </w:pPr>
            <w:r>
              <w:rPr>
                <w:lang w:val="en-US"/>
              </w:rPr>
              <w:t>Presentation</w:t>
            </w:r>
            <w:r w:rsidR="001679DB">
              <w:rPr>
                <w:lang w:val="en-US"/>
              </w:rPr>
              <w:t xml:space="preserve"> 1(</w:t>
            </w:r>
            <w:r w:rsidR="007A1C5E">
              <w:rPr>
                <w:lang w:val="en-US"/>
              </w:rPr>
              <w:t>OXFAM</w:t>
            </w:r>
            <w:r w:rsidR="001679DB">
              <w:rPr>
                <w:lang w:val="en-US"/>
              </w:rPr>
              <w:t>)</w:t>
            </w:r>
          </w:p>
          <w:p w14:paraId="220F0287" w14:textId="651E2FB2" w:rsidR="001679DB" w:rsidRPr="00CA381A" w:rsidRDefault="001679DB" w:rsidP="00844B03">
            <w:pPr>
              <w:rPr>
                <w:lang w:val="en-US"/>
              </w:rPr>
            </w:pPr>
            <w:r>
              <w:rPr>
                <w:lang w:val="en-US"/>
              </w:rPr>
              <w:t>Presentation 2 (</w:t>
            </w:r>
            <w:r w:rsidR="00844B03">
              <w:rPr>
                <w:lang w:val="en-US"/>
              </w:rPr>
              <w:t>WGEI</w:t>
            </w:r>
            <w:r>
              <w:rPr>
                <w:lang w:val="en-US"/>
              </w:rPr>
              <w:t>)</w:t>
            </w:r>
          </w:p>
        </w:tc>
        <w:tc>
          <w:tcPr>
            <w:tcW w:w="3006" w:type="dxa"/>
            <w:vAlign w:val="center"/>
          </w:tcPr>
          <w:p w14:paraId="34E0B495" w14:textId="13B02973" w:rsidR="005625D2" w:rsidRPr="00CA381A" w:rsidRDefault="00EC377D" w:rsidP="00936C34">
            <w:pPr>
              <w:rPr>
                <w:lang w:val="en-US"/>
              </w:rPr>
            </w:pPr>
            <w:r>
              <w:rPr>
                <w:lang w:val="en-US"/>
              </w:rPr>
              <w:t>Ed (AFRE)</w:t>
            </w:r>
          </w:p>
        </w:tc>
      </w:tr>
      <w:tr w:rsidR="005625D2" w:rsidRPr="003F6C91" w14:paraId="24CFB813" w14:textId="77777777" w:rsidTr="00936C34">
        <w:tc>
          <w:tcPr>
            <w:tcW w:w="1705" w:type="dxa"/>
            <w:vAlign w:val="center"/>
          </w:tcPr>
          <w:p w14:paraId="6526A6B2" w14:textId="77777777" w:rsidR="005625D2" w:rsidRPr="00CA381A" w:rsidRDefault="005625D2" w:rsidP="00936C34">
            <w:pPr>
              <w:rPr>
                <w:lang w:val="en-US"/>
              </w:rPr>
            </w:pPr>
            <w:r>
              <w:rPr>
                <w:lang w:val="en-US"/>
              </w:rPr>
              <w:t>11:30 – 11:45</w:t>
            </w:r>
          </w:p>
        </w:tc>
        <w:tc>
          <w:tcPr>
            <w:tcW w:w="4305" w:type="dxa"/>
            <w:vAlign w:val="center"/>
          </w:tcPr>
          <w:p w14:paraId="16D5DED9" w14:textId="49858CA9" w:rsidR="005625D2" w:rsidRPr="00570290" w:rsidRDefault="00844B03" w:rsidP="00936C34">
            <w:pPr>
              <w:rPr>
                <w:b/>
                <w:bCs/>
                <w:lang w:val="en-US"/>
              </w:rPr>
            </w:pPr>
            <w:r w:rsidRPr="00570290">
              <w:rPr>
                <w:b/>
                <w:bCs/>
                <w:lang w:val="en-US"/>
              </w:rPr>
              <w:t>Comfort Break</w:t>
            </w:r>
          </w:p>
        </w:tc>
        <w:tc>
          <w:tcPr>
            <w:tcW w:w="3006" w:type="dxa"/>
            <w:vAlign w:val="center"/>
          </w:tcPr>
          <w:p w14:paraId="25D2D8B1" w14:textId="77777777" w:rsidR="005625D2" w:rsidRPr="00CA381A" w:rsidRDefault="005625D2" w:rsidP="00936C34">
            <w:pPr>
              <w:rPr>
                <w:lang w:val="en-US"/>
              </w:rPr>
            </w:pPr>
          </w:p>
        </w:tc>
      </w:tr>
      <w:tr w:rsidR="005625D2" w14:paraId="2F922E29" w14:textId="77777777" w:rsidTr="00936C34">
        <w:tc>
          <w:tcPr>
            <w:tcW w:w="1705" w:type="dxa"/>
            <w:vAlign w:val="center"/>
          </w:tcPr>
          <w:p w14:paraId="4FD5661A" w14:textId="77777777" w:rsidR="005625D2" w:rsidRPr="00CA381A" w:rsidRDefault="005625D2" w:rsidP="00936C34">
            <w:pPr>
              <w:rPr>
                <w:lang w:val="en-US"/>
              </w:rPr>
            </w:pPr>
            <w:r>
              <w:rPr>
                <w:lang w:val="en-US"/>
              </w:rPr>
              <w:t>11:45 – 12:45</w:t>
            </w:r>
          </w:p>
        </w:tc>
        <w:tc>
          <w:tcPr>
            <w:tcW w:w="4305" w:type="dxa"/>
            <w:vAlign w:val="center"/>
          </w:tcPr>
          <w:p w14:paraId="75E3D867" w14:textId="233C4665" w:rsidR="005625D2" w:rsidRDefault="00553C83" w:rsidP="00936C34">
            <w:pPr>
              <w:rPr>
                <w:lang w:val="en-US"/>
              </w:rPr>
            </w:pPr>
            <w:r>
              <w:rPr>
                <w:lang w:val="en-US"/>
              </w:rPr>
              <w:t>SAI Presentations</w:t>
            </w:r>
            <w:r w:rsidR="008378AF">
              <w:rPr>
                <w:lang w:val="en-US"/>
              </w:rPr>
              <w:t xml:space="preserve"> (SL, </w:t>
            </w:r>
            <w:proofErr w:type="spellStart"/>
            <w:r w:rsidR="008378AF">
              <w:rPr>
                <w:lang w:val="en-US"/>
              </w:rPr>
              <w:t>Mz</w:t>
            </w:r>
            <w:proofErr w:type="spellEnd"/>
            <w:r w:rsidR="008378AF">
              <w:rPr>
                <w:lang w:val="en-US"/>
              </w:rPr>
              <w:t xml:space="preserve">, </w:t>
            </w:r>
            <w:proofErr w:type="spellStart"/>
            <w:r w:rsidR="00EE05E9">
              <w:rPr>
                <w:lang w:val="en-US"/>
              </w:rPr>
              <w:t>Tz</w:t>
            </w:r>
            <w:proofErr w:type="spellEnd"/>
            <w:r w:rsidR="00EE05E9">
              <w:rPr>
                <w:lang w:val="en-US"/>
              </w:rPr>
              <w:t xml:space="preserve">, </w:t>
            </w:r>
            <w:proofErr w:type="spellStart"/>
            <w:proofErr w:type="gramStart"/>
            <w:r w:rsidR="00F0339D">
              <w:rPr>
                <w:lang w:val="en-US"/>
              </w:rPr>
              <w:t>Bw,</w:t>
            </w:r>
            <w:r w:rsidR="00501780">
              <w:rPr>
                <w:lang w:val="en-US"/>
              </w:rPr>
              <w:t>Gam</w:t>
            </w:r>
            <w:proofErr w:type="spellEnd"/>
            <w:proofErr w:type="gramEnd"/>
            <w:r w:rsidR="00DE519C">
              <w:rPr>
                <w:lang w:val="en-US"/>
              </w:rPr>
              <w:t>)</w:t>
            </w:r>
          </w:p>
          <w:p w14:paraId="48BACBEF" w14:textId="4969D49B" w:rsidR="00B74AAA" w:rsidRPr="00CA381A" w:rsidRDefault="00DE519C" w:rsidP="00DE519C">
            <w:pPr>
              <w:rPr>
                <w:lang w:val="en-US"/>
              </w:rPr>
            </w:pPr>
            <w:r>
              <w:rPr>
                <w:lang w:val="en-US"/>
              </w:rPr>
              <w:t>Sharing of poll results</w:t>
            </w:r>
            <w:r w:rsidR="00EA12F7">
              <w:rPr>
                <w:lang w:val="en-US"/>
              </w:rPr>
              <w:t xml:space="preserve"> (</w:t>
            </w:r>
            <w:proofErr w:type="spellStart"/>
            <w:r w:rsidR="00C17C54">
              <w:rPr>
                <w:lang w:val="en-US"/>
              </w:rPr>
              <w:t>GiZ</w:t>
            </w:r>
            <w:proofErr w:type="spellEnd"/>
            <w:r w:rsidR="00C17C54">
              <w:rPr>
                <w:lang w:val="en-US"/>
              </w:rPr>
              <w:t>)</w:t>
            </w:r>
          </w:p>
        </w:tc>
        <w:tc>
          <w:tcPr>
            <w:tcW w:w="3006" w:type="dxa"/>
            <w:vAlign w:val="center"/>
          </w:tcPr>
          <w:p w14:paraId="412E7D85" w14:textId="02B99D50" w:rsidR="005625D2" w:rsidRPr="00CA381A" w:rsidRDefault="00EC377D" w:rsidP="00936C34">
            <w:pPr>
              <w:rPr>
                <w:lang w:val="en-US"/>
              </w:rPr>
            </w:pPr>
            <w:r>
              <w:rPr>
                <w:lang w:val="en-US"/>
              </w:rPr>
              <w:t>Nikeziwe (AFRE)</w:t>
            </w:r>
          </w:p>
        </w:tc>
      </w:tr>
      <w:tr w:rsidR="005625D2" w14:paraId="3853E198" w14:textId="77777777" w:rsidTr="00936C34">
        <w:tc>
          <w:tcPr>
            <w:tcW w:w="1705" w:type="dxa"/>
            <w:vAlign w:val="center"/>
          </w:tcPr>
          <w:p w14:paraId="1601A261" w14:textId="77777777" w:rsidR="005625D2" w:rsidRDefault="005625D2" w:rsidP="00936C34">
            <w:pPr>
              <w:rPr>
                <w:lang w:val="en-US"/>
              </w:rPr>
            </w:pPr>
            <w:r>
              <w:rPr>
                <w:lang w:val="en-US"/>
              </w:rPr>
              <w:t>12:45 – 13:00</w:t>
            </w:r>
          </w:p>
        </w:tc>
        <w:tc>
          <w:tcPr>
            <w:tcW w:w="4305" w:type="dxa"/>
            <w:vAlign w:val="center"/>
          </w:tcPr>
          <w:p w14:paraId="57BF21A7" w14:textId="6542C676" w:rsidR="005625D2" w:rsidRPr="00CA381A" w:rsidRDefault="00553C83" w:rsidP="00936C34">
            <w:pPr>
              <w:rPr>
                <w:lang w:val="en-US"/>
              </w:rPr>
            </w:pPr>
            <w:r>
              <w:rPr>
                <w:lang w:val="en-US"/>
              </w:rPr>
              <w:t xml:space="preserve">Wrap up and closing of </w:t>
            </w:r>
            <w:r w:rsidR="00EF367E">
              <w:rPr>
                <w:lang w:val="en-US"/>
              </w:rPr>
              <w:t>workshop</w:t>
            </w:r>
          </w:p>
        </w:tc>
        <w:tc>
          <w:tcPr>
            <w:tcW w:w="3006" w:type="dxa"/>
            <w:vAlign w:val="center"/>
          </w:tcPr>
          <w:p w14:paraId="5A7AE945" w14:textId="3C938681" w:rsidR="005625D2" w:rsidRPr="00CA381A" w:rsidRDefault="00EF367E" w:rsidP="00936C34">
            <w:pPr>
              <w:rPr>
                <w:lang w:val="en-US"/>
              </w:rPr>
            </w:pPr>
            <w:r>
              <w:rPr>
                <w:lang w:val="en-US"/>
              </w:rPr>
              <w:t>Meisie Nkau (AFRE)</w:t>
            </w:r>
          </w:p>
        </w:tc>
      </w:tr>
    </w:tbl>
    <w:p w14:paraId="3647DF4B" w14:textId="071DAF14" w:rsidR="005625D2" w:rsidRPr="005014BF" w:rsidRDefault="005625D2" w:rsidP="00B76EFE">
      <w:pPr>
        <w:rPr>
          <w:lang w:val="en-US"/>
        </w:rPr>
      </w:pPr>
    </w:p>
    <w:sectPr w:rsidR="005625D2" w:rsidRPr="005014BF">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0DE3AA" w14:textId="77777777" w:rsidR="00A41115" w:rsidRDefault="00A41115" w:rsidP="00A834D5">
      <w:pPr>
        <w:spacing w:after="0" w:line="240" w:lineRule="auto"/>
      </w:pPr>
      <w:r>
        <w:separator/>
      </w:r>
    </w:p>
  </w:endnote>
  <w:endnote w:type="continuationSeparator" w:id="0">
    <w:p w14:paraId="222DE946" w14:textId="77777777" w:rsidR="00A41115" w:rsidRDefault="00A41115" w:rsidP="00A83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4AF649" w14:textId="77777777" w:rsidR="00A41115" w:rsidRDefault="00A41115" w:rsidP="00A834D5">
      <w:pPr>
        <w:spacing w:after="0" w:line="240" w:lineRule="auto"/>
      </w:pPr>
      <w:r>
        <w:separator/>
      </w:r>
    </w:p>
  </w:footnote>
  <w:footnote w:type="continuationSeparator" w:id="0">
    <w:p w14:paraId="35CAA16E" w14:textId="77777777" w:rsidR="00A41115" w:rsidRDefault="00A41115" w:rsidP="00A834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DB8C9" w14:textId="1FD436B5" w:rsidR="00A834D5" w:rsidRDefault="00A834D5">
    <w:pPr>
      <w:pStyle w:val="Header"/>
    </w:pPr>
    <w:r w:rsidRPr="00A834D5">
      <w:rPr>
        <w:noProof/>
      </w:rPr>
      <w:drawing>
        <wp:anchor distT="0" distB="0" distL="114300" distR="114300" simplePos="0" relativeHeight="251660288" behindDoc="1" locked="0" layoutInCell="1" allowOverlap="1" wp14:anchorId="20F77123" wp14:editId="14682DB7">
          <wp:simplePos x="0" y="0"/>
          <wp:positionH relativeFrom="column">
            <wp:posOffset>4419600</wp:posOffset>
          </wp:positionH>
          <wp:positionV relativeFrom="page">
            <wp:posOffset>293370</wp:posOffset>
          </wp:positionV>
          <wp:extent cx="952500" cy="531495"/>
          <wp:effectExtent l="0" t="0" r="0" b="1905"/>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grayscl/>
                    <a:extLst>
                      <a:ext uri="{28A0092B-C50C-407E-A947-70E740481C1C}">
                        <a14:useLocalDpi xmlns:a14="http://schemas.microsoft.com/office/drawing/2010/main" val="0"/>
                      </a:ext>
                    </a:extLst>
                  </a:blip>
                  <a:stretch>
                    <a:fillRect/>
                  </a:stretch>
                </pic:blipFill>
                <pic:spPr>
                  <a:xfrm>
                    <a:off x="0" y="0"/>
                    <a:ext cx="952500" cy="53149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a:ext>
                  </a:extLst>
                </pic:spPr>
              </pic:pic>
            </a:graphicData>
          </a:graphic>
          <wp14:sizeRelH relativeFrom="page">
            <wp14:pctWidth>0</wp14:pctWidth>
          </wp14:sizeRelH>
          <wp14:sizeRelV relativeFrom="page">
            <wp14:pctHeight>0</wp14:pctHeight>
          </wp14:sizeRelV>
        </wp:anchor>
      </w:drawing>
    </w:r>
  </w:p>
  <w:p w14:paraId="79584DEB" w14:textId="65A79DA1" w:rsidR="00A834D5" w:rsidRDefault="00A834D5">
    <w:pPr>
      <w:pStyle w:val="Header"/>
    </w:pPr>
  </w:p>
  <w:p w14:paraId="78F53241" w14:textId="3EC318CC" w:rsidR="00A834D5" w:rsidRDefault="00A834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4E5EEF"/>
    <w:multiLevelType w:val="hybridMultilevel"/>
    <w:tmpl w:val="69405012"/>
    <w:lvl w:ilvl="0" w:tplc="3208B50E">
      <w:start w:val="1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4BF"/>
    <w:rsid w:val="00021DB4"/>
    <w:rsid w:val="000533EE"/>
    <w:rsid w:val="00065A1C"/>
    <w:rsid w:val="000A4624"/>
    <w:rsid w:val="000C62A4"/>
    <w:rsid w:val="00110B79"/>
    <w:rsid w:val="00124603"/>
    <w:rsid w:val="001679DB"/>
    <w:rsid w:val="00227660"/>
    <w:rsid w:val="0023084C"/>
    <w:rsid w:val="00230CC7"/>
    <w:rsid w:val="00294BD8"/>
    <w:rsid w:val="00313516"/>
    <w:rsid w:val="00340C26"/>
    <w:rsid w:val="00346AD1"/>
    <w:rsid w:val="003C51DD"/>
    <w:rsid w:val="003D0A6B"/>
    <w:rsid w:val="003E6B95"/>
    <w:rsid w:val="003F6C91"/>
    <w:rsid w:val="004275D2"/>
    <w:rsid w:val="004450AF"/>
    <w:rsid w:val="00466417"/>
    <w:rsid w:val="00486CFF"/>
    <w:rsid w:val="004B102F"/>
    <w:rsid w:val="004E0C96"/>
    <w:rsid w:val="004E47AC"/>
    <w:rsid w:val="004E71EB"/>
    <w:rsid w:val="005014BF"/>
    <w:rsid w:val="00501780"/>
    <w:rsid w:val="00553C83"/>
    <w:rsid w:val="005625D2"/>
    <w:rsid w:val="00562BDF"/>
    <w:rsid w:val="00570290"/>
    <w:rsid w:val="005E0DFD"/>
    <w:rsid w:val="006E2AC5"/>
    <w:rsid w:val="00706682"/>
    <w:rsid w:val="007206B1"/>
    <w:rsid w:val="00721540"/>
    <w:rsid w:val="007A1C5E"/>
    <w:rsid w:val="007A44C1"/>
    <w:rsid w:val="007A6943"/>
    <w:rsid w:val="007B7D2A"/>
    <w:rsid w:val="007C3DBB"/>
    <w:rsid w:val="007C4D34"/>
    <w:rsid w:val="007F021E"/>
    <w:rsid w:val="007F607B"/>
    <w:rsid w:val="00804DC8"/>
    <w:rsid w:val="008378AF"/>
    <w:rsid w:val="00844B03"/>
    <w:rsid w:val="008A20F0"/>
    <w:rsid w:val="008B3C14"/>
    <w:rsid w:val="008D784A"/>
    <w:rsid w:val="00971580"/>
    <w:rsid w:val="009C78DD"/>
    <w:rsid w:val="00A14D12"/>
    <w:rsid w:val="00A41115"/>
    <w:rsid w:val="00A80C15"/>
    <w:rsid w:val="00A834D5"/>
    <w:rsid w:val="00A97879"/>
    <w:rsid w:val="00AB4CB9"/>
    <w:rsid w:val="00AD0079"/>
    <w:rsid w:val="00AF64B2"/>
    <w:rsid w:val="00B647F2"/>
    <w:rsid w:val="00B74AAA"/>
    <w:rsid w:val="00B76EFE"/>
    <w:rsid w:val="00BA537E"/>
    <w:rsid w:val="00BC7E76"/>
    <w:rsid w:val="00BF6F20"/>
    <w:rsid w:val="00C10755"/>
    <w:rsid w:val="00C17C54"/>
    <w:rsid w:val="00C33F81"/>
    <w:rsid w:val="00C66C71"/>
    <w:rsid w:val="00C74F94"/>
    <w:rsid w:val="00C82F08"/>
    <w:rsid w:val="00C87792"/>
    <w:rsid w:val="00CA381A"/>
    <w:rsid w:val="00CC0265"/>
    <w:rsid w:val="00CC57C1"/>
    <w:rsid w:val="00CE4579"/>
    <w:rsid w:val="00CE5BE6"/>
    <w:rsid w:val="00CE777A"/>
    <w:rsid w:val="00CF100D"/>
    <w:rsid w:val="00D027BA"/>
    <w:rsid w:val="00D04973"/>
    <w:rsid w:val="00D22F5F"/>
    <w:rsid w:val="00D359A5"/>
    <w:rsid w:val="00D729E7"/>
    <w:rsid w:val="00D806F1"/>
    <w:rsid w:val="00D85C4B"/>
    <w:rsid w:val="00DA67C2"/>
    <w:rsid w:val="00DE4A57"/>
    <w:rsid w:val="00DE519C"/>
    <w:rsid w:val="00DF6635"/>
    <w:rsid w:val="00E1585E"/>
    <w:rsid w:val="00E23F3E"/>
    <w:rsid w:val="00E27357"/>
    <w:rsid w:val="00E52F00"/>
    <w:rsid w:val="00E57640"/>
    <w:rsid w:val="00E61BAC"/>
    <w:rsid w:val="00E769F2"/>
    <w:rsid w:val="00E875FC"/>
    <w:rsid w:val="00EA12F7"/>
    <w:rsid w:val="00EC377D"/>
    <w:rsid w:val="00EE05E9"/>
    <w:rsid w:val="00EF367E"/>
    <w:rsid w:val="00EF3F49"/>
    <w:rsid w:val="00F0339D"/>
    <w:rsid w:val="00F218A4"/>
    <w:rsid w:val="00F22A62"/>
    <w:rsid w:val="00F60303"/>
    <w:rsid w:val="00F951C1"/>
    <w:rsid w:val="00FB18A7"/>
    <w:rsid w:val="00FE4B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2EBCE6"/>
  <w15:chartTrackingRefBased/>
  <w15:docId w15:val="{89794A80-D078-4421-BA4A-0E6E85662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4BF"/>
    <w:pPr>
      <w:ind w:left="720"/>
      <w:contextualSpacing/>
    </w:pPr>
  </w:style>
  <w:style w:type="table" w:styleId="TableGrid">
    <w:name w:val="Table Grid"/>
    <w:basedOn w:val="TableNormal"/>
    <w:uiPriority w:val="39"/>
    <w:rsid w:val="00E273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27357"/>
    <w:rPr>
      <w:sz w:val="16"/>
      <w:szCs w:val="16"/>
    </w:rPr>
  </w:style>
  <w:style w:type="paragraph" w:styleId="CommentText">
    <w:name w:val="annotation text"/>
    <w:basedOn w:val="Normal"/>
    <w:link w:val="CommentTextChar"/>
    <w:uiPriority w:val="99"/>
    <w:semiHidden/>
    <w:unhideWhenUsed/>
    <w:rsid w:val="00E27357"/>
    <w:pPr>
      <w:spacing w:line="240" w:lineRule="auto"/>
    </w:pPr>
    <w:rPr>
      <w:sz w:val="20"/>
      <w:szCs w:val="20"/>
    </w:rPr>
  </w:style>
  <w:style w:type="character" w:customStyle="1" w:styleId="CommentTextChar">
    <w:name w:val="Comment Text Char"/>
    <w:basedOn w:val="DefaultParagraphFont"/>
    <w:link w:val="CommentText"/>
    <w:uiPriority w:val="99"/>
    <w:semiHidden/>
    <w:rsid w:val="00E27357"/>
    <w:rPr>
      <w:sz w:val="20"/>
      <w:szCs w:val="20"/>
    </w:rPr>
  </w:style>
  <w:style w:type="paragraph" w:styleId="CommentSubject">
    <w:name w:val="annotation subject"/>
    <w:basedOn w:val="CommentText"/>
    <w:next w:val="CommentText"/>
    <w:link w:val="CommentSubjectChar"/>
    <w:uiPriority w:val="99"/>
    <w:semiHidden/>
    <w:unhideWhenUsed/>
    <w:rsid w:val="00E27357"/>
    <w:rPr>
      <w:b/>
      <w:bCs/>
    </w:rPr>
  </w:style>
  <w:style w:type="character" w:customStyle="1" w:styleId="CommentSubjectChar">
    <w:name w:val="Comment Subject Char"/>
    <w:basedOn w:val="CommentTextChar"/>
    <w:link w:val="CommentSubject"/>
    <w:uiPriority w:val="99"/>
    <w:semiHidden/>
    <w:rsid w:val="00E27357"/>
    <w:rPr>
      <w:b/>
      <w:bCs/>
      <w:sz w:val="20"/>
      <w:szCs w:val="20"/>
    </w:rPr>
  </w:style>
  <w:style w:type="paragraph" w:styleId="BalloonText">
    <w:name w:val="Balloon Text"/>
    <w:basedOn w:val="Normal"/>
    <w:link w:val="BalloonTextChar"/>
    <w:uiPriority w:val="99"/>
    <w:semiHidden/>
    <w:unhideWhenUsed/>
    <w:rsid w:val="00E273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357"/>
    <w:rPr>
      <w:rFonts w:ascii="Segoe UI" w:hAnsi="Segoe UI" w:cs="Segoe UI"/>
      <w:sz w:val="18"/>
      <w:szCs w:val="18"/>
    </w:rPr>
  </w:style>
  <w:style w:type="paragraph" w:styleId="Header">
    <w:name w:val="header"/>
    <w:basedOn w:val="Normal"/>
    <w:link w:val="HeaderChar"/>
    <w:uiPriority w:val="99"/>
    <w:unhideWhenUsed/>
    <w:rsid w:val="00A834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34D5"/>
  </w:style>
  <w:style w:type="paragraph" w:styleId="Footer">
    <w:name w:val="footer"/>
    <w:basedOn w:val="Normal"/>
    <w:link w:val="FooterChar"/>
    <w:uiPriority w:val="99"/>
    <w:unhideWhenUsed/>
    <w:rsid w:val="00A834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34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Boehm, Malte GIZ ZA</dc:creator>
  <cp:keywords/>
  <dc:description/>
  <cp:lastModifiedBy>Melissa Venter</cp:lastModifiedBy>
  <cp:revision>2</cp:revision>
  <dcterms:created xsi:type="dcterms:W3CDTF">2021-05-27T08:23:00Z</dcterms:created>
  <dcterms:modified xsi:type="dcterms:W3CDTF">2021-05-27T08:23:00Z</dcterms:modified>
</cp:coreProperties>
</file>